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</w:rPr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color w:val="ff0000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MATRIZ DE ATENDIMENTO DAS DELIBERAÇÕES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color w:val="ff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535.0" w:type="dxa"/>
        <w:jc w:val="left"/>
        <w:tblInd w:w="-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20"/>
        <w:gridCol w:w="11715"/>
        <w:tblGridChange w:id="0">
          <w:tblGrid>
            <w:gridCol w:w="2820"/>
            <w:gridCol w:w="11715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4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UNIDADE JURISDICIONADA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2" w:hRule="atLeast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6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OBJETO DA FISCALIZAÇÃO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7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spacing w:after="120" w:lineRule="auto"/>
        <w:jc w:val="both"/>
        <w:rPr>
          <w:rFonts w:ascii="Arial" w:cs="Arial" w:eastAsia="Arial" w:hAnsi="Arial"/>
          <w:sz w:val="4"/>
          <w:szCs w:val="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120" w:lineRule="auto"/>
        <w:jc w:val="both"/>
        <w:rPr>
          <w:rFonts w:ascii="Arial" w:cs="Arial" w:eastAsia="Arial" w:hAnsi="Arial"/>
          <w:sz w:val="4"/>
          <w:szCs w:val="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57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428.5"/>
        <w:gridCol w:w="2428.5"/>
        <w:gridCol w:w="2428.5"/>
        <w:gridCol w:w="2428.5"/>
        <w:gridCol w:w="2428.5"/>
        <w:gridCol w:w="2428.5"/>
        <w:tblGridChange w:id="0">
          <w:tblGrid>
            <w:gridCol w:w="2428.5"/>
            <w:gridCol w:w="2428.5"/>
            <w:gridCol w:w="2428.5"/>
            <w:gridCol w:w="2428.5"/>
            <w:gridCol w:w="2428.5"/>
            <w:gridCol w:w="2428.5"/>
          </w:tblGrid>
        </w:tblGridChange>
      </w:tblGrid>
      <w:tr>
        <w:trPr>
          <w:cantSplit w:val="0"/>
          <w:trHeight w:val="563" w:hRule="atLeast"/>
          <w:tblHeader w:val="1"/>
        </w:trPr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0A">
            <w:pPr>
              <w:ind w:left="141.73228346456688" w:firstLine="0"/>
              <w:jc w:val="center"/>
              <w:rPr>
                <w:rFonts w:ascii="Arial" w:cs="Arial" w:eastAsia="Arial" w:hAnsi="Arial"/>
                <w:b w:val="1"/>
              </w:rPr>
            </w:pPr>
            <w:bookmarkStart w:colFirst="0" w:colLast="0" w:name="_heading=h.labot9pmqpoi" w:id="1"/>
            <w:bookmarkEnd w:id="1"/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DELIBERAÇÃO / ITEM DECISÓRIO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RESPONSÁVEL PELA IMPLEMENTAÇÃO</w:t>
            </w:r>
          </w:p>
        </w:tc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ANÁLISE E EVIDÊNCIAS </w:t>
            </w:r>
          </w:p>
        </w:tc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RESULTADO DO MONITORAMENTO</w:t>
            </w:r>
          </w:p>
        </w:tc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PROPOSTA DE ENCAMINHAMENTO</w:t>
            </w:r>
          </w:p>
        </w:tc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BENEFÍCIOS</w:t>
            </w:r>
          </w:p>
        </w:tc>
      </w:tr>
      <w:tr>
        <w:trPr>
          <w:cantSplit w:val="0"/>
          <w:trHeight w:val="3119" w:hRule="atLeast"/>
          <w:tblHeader w:val="0"/>
        </w:trPr>
        <w:tc>
          <w:tcPr/>
          <w:p w:rsidR="00000000" w:rsidDel="00000000" w:rsidP="00000000" w:rsidRDefault="00000000" w:rsidRPr="00000000" w14:paraId="00000010">
            <w:pPr>
              <w:spacing w:after="120" w:lineRule="auto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Deliberação ou item decisório definido no Plano de Monitoramento</w:t>
            </w:r>
          </w:p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Indicar os responsáveis pela implementação da decisão ou item decisório para cada jurisdicionado.</w:t>
            </w:r>
          </w:p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Quando a decisão não indicar, pessoal e nominalmente, um ou mais responsáveis, sendo estes identificados apenas por alusão ao nome de um cargo público legalmente instituído (Ex: Secretário de…Superintendente de…Presidente da…), durante a execução dos trabalhos deve ser realizada a identificação pessoal dos responsáveis, conforme a qualificação dos agentes e servidores públicos que figurem como titulares do cargo a partir da data em que a deliberação monitorada foi formalmente comunicada à alta administração da unidade jurisdicionada envolvida.</w:t>
            </w:r>
          </w:p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Em alguns casos, pode haver mais de um responsável pelo cumprimento de cada decisão ou item decisório, devendo todos serem registrados nesta matriz, e referenciados conforme a deliberação que esteja vinculado.</w:t>
            </w:r>
          </w:p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Das decisões que resultarem instrumentos como Plano de Ação ou Termo de Ajustamento de Gestão (TAG), a identificação do(s) responsável(s) deve refletir o teor desses instrumentos.</w:t>
            </w:r>
          </w:p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after="240" w:before="240" w:line="240" w:lineRule="auto"/>
              <w:ind w:left="0" w:firstLine="0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Descrever as ações e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medidas apresentadas pelo(s) responsável(s), ou identificadas pela própria equipe durante a execução dos procedimentos, devendo ficar claro a relação daquelas com o teor normativo da decisão/item decisório monitorado</w:t>
            </w:r>
          </w:p>
          <w:p w:rsidR="00000000" w:rsidDel="00000000" w:rsidP="00000000" w:rsidRDefault="00000000" w:rsidRPr="00000000" w14:paraId="0000001D">
            <w:pPr>
              <w:spacing w:after="240" w:before="240" w:line="240" w:lineRule="auto"/>
              <w:ind w:left="0" w:firstLine="0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Deve ser registrado também se as ações e medidas apresentadas/identificadas são (ou não) suficientes para se concluir que a decisão/item decisório: i) foi cumprida ou implementada; ii) não foi cumprida ou não implementada; iii) está pendente ou em processo de cumprimento ou de implementação; iv) não é mais aplicável, bem como o atendimento dos prazos porventura estipulados.</w:t>
            </w:r>
          </w:p>
          <w:p w:rsidR="00000000" w:rsidDel="00000000" w:rsidP="00000000" w:rsidRDefault="00000000" w:rsidRPr="00000000" w14:paraId="0000001E">
            <w:pPr>
              <w:spacing w:after="240" w:before="240" w:lineRule="auto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Nos casos em que a situação encontrada revele situação de pendência de cumprimento mas existam evidências de iniciativas que demonstrem início de procedimentos de implementação (ainda que de natureza preliminar/planejamento), toda essa circunstância deve ser descrita pormenorizadamente, com avaliação quanto ao nível/grau/percentual de atendimento, mesmo que de forma aproximada.</w:t>
            </w:r>
          </w:p>
          <w:p w:rsidR="00000000" w:rsidDel="00000000" w:rsidP="00000000" w:rsidRDefault="00000000" w:rsidRPr="00000000" w14:paraId="0000001F">
            <w:pPr>
              <w:spacing w:after="240" w:before="240" w:line="240" w:lineRule="auto"/>
              <w:ind w:left="0" w:firstLine="0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Sempre que possível relacionar os efeitos reais ou potenciais do adimplemento das deliberações, ou as consequências do seu inadimplemento. </w:t>
            </w:r>
          </w:p>
          <w:p w:rsidR="00000000" w:rsidDel="00000000" w:rsidP="00000000" w:rsidRDefault="00000000" w:rsidRPr="00000000" w14:paraId="00000020">
            <w:pPr>
              <w:spacing w:after="240" w:before="240" w:line="240" w:lineRule="auto"/>
              <w:ind w:left="0" w:firstLine="0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A descrição deve contemplar os esclarecimentos e as providências adotadas, apontadas pelo responsável/jurisdicionado até a data do monitoramento, as dificuldades encontradas, bem como as melhorias em decorrência da implementação. </w:t>
            </w:r>
          </w:p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IMPORTANTE: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Envidar todos os esforços para que, ao final do trabalho, seja possível demonstrar: quais foram os resultados obtidos; o reflexo social direto e indireto;   as consequências para o jurisdicionado, para o erário e para a sociedade, resultantes do eventual descumprimento da decisão e a verificação dos benefícios efetivos advindos da implementação de medidas com vistas a sanar as irregularidades apontadas; a análise dos resultados quanto aos aspectos quantitativos e qualitativos; a identificação das alterações ocorridas em razão da atuação do Tribunal; a avaliação dos esforços e dos efeitos do desempenho do jurisdicionado para cumprir a decisão do TCE, inclusive demonstrando que, apesar de não ter cumprido ao que foi determinado/recomendado, conseguiu por outros meios elidir a irregularidade ou impropriedade; a descrição das dificuldades que surgiram, o que precisa ser melhorado; o que foi muito bom e contribuiu para o resultado.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after="240" w:before="240" w:line="240" w:lineRule="auto"/>
              <w:ind w:left="0" w:firstLine="0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Emitir análise conclusiva acerca do cumprimento ou não da deliberação do Tribunal e do respectivo grau de implementação, conforme estabelece o art. 11 da Resolução Normativa nº 011/2016. Avaliar se podem ou não ser considerados satisfatórios ou se ainda requerem outras medidas.</w:t>
            </w:r>
          </w:p>
          <w:p w:rsidR="00000000" w:rsidDel="00000000" w:rsidP="00000000" w:rsidRDefault="00000000" w:rsidRPr="00000000" w14:paraId="00000023">
            <w:pPr>
              <w:spacing w:after="240" w:before="240" w:line="276" w:lineRule="auto"/>
              <w:ind w:left="0" w:firstLine="0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Classificar como </w:t>
            </w:r>
          </w:p>
          <w:p w:rsidR="00000000" w:rsidDel="00000000" w:rsidP="00000000" w:rsidRDefault="00000000" w:rsidRPr="00000000" w14:paraId="00000024">
            <w:pPr>
              <w:spacing w:after="240" w:before="240" w:line="276" w:lineRule="auto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Para cada decisão ou item decisório monitorado, a opinião técnica quanto a situação encontrada deve ser descrita, sinteticamente, nesta coluna, apenas a partir das seguintes opções:</w:t>
            </w:r>
          </w:p>
          <w:p w:rsidR="00000000" w:rsidDel="00000000" w:rsidP="00000000" w:rsidRDefault="00000000" w:rsidRPr="00000000" w14:paraId="00000025">
            <w:pPr>
              <w:spacing w:after="240" w:before="240" w:line="276" w:lineRule="auto"/>
              <w:rPr>
                <w:rFonts w:ascii="Roboto" w:cs="Roboto" w:eastAsia="Roboto" w:hAnsi="Roboto"/>
                <w:color w:val="ff0000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ff0000"/>
                <w:sz w:val="21"/>
                <w:szCs w:val="21"/>
                <w:rtl w:val="0"/>
              </w:rPr>
              <w:t xml:space="preserve">- implementada;</w:t>
            </w:r>
          </w:p>
          <w:p w:rsidR="00000000" w:rsidDel="00000000" w:rsidP="00000000" w:rsidRDefault="00000000" w:rsidRPr="00000000" w14:paraId="00000026">
            <w:pPr>
              <w:spacing w:after="240" w:before="240" w:line="276" w:lineRule="auto"/>
              <w:rPr>
                <w:rFonts w:ascii="Roboto" w:cs="Roboto" w:eastAsia="Roboto" w:hAnsi="Roboto"/>
                <w:color w:val="ff0000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ff0000"/>
                <w:sz w:val="21"/>
                <w:szCs w:val="21"/>
                <w:rtl w:val="0"/>
              </w:rPr>
              <w:t xml:space="preserve">- parcialmente implementada;</w:t>
            </w:r>
          </w:p>
          <w:p w:rsidR="00000000" w:rsidDel="00000000" w:rsidP="00000000" w:rsidRDefault="00000000" w:rsidRPr="00000000" w14:paraId="00000027">
            <w:pPr>
              <w:spacing w:after="240" w:before="240" w:line="276" w:lineRule="auto"/>
              <w:rPr>
                <w:rFonts w:ascii="Roboto" w:cs="Roboto" w:eastAsia="Roboto" w:hAnsi="Roboto"/>
                <w:color w:val="ff0000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color w:val="ff0000"/>
                <w:sz w:val="21"/>
                <w:szCs w:val="21"/>
                <w:rtl w:val="0"/>
              </w:rPr>
              <w:t xml:space="preserve"> - em implementação;</w:t>
            </w:r>
          </w:p>
          <w:p w:rsidR="00000000" w:rsidDel="00000000" w:rsidP="00000000" w:rsidRDefault="00000000" w:rsidRPr="00000000" w14:paraId="00000028">
            <w:pPr>
              <w:spacing w:after="240" w:before="240" w:line="276" w:lineRule="auto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color w:val="ff0000"/>
                <w:sz w:val="21"/>
                <w:szCs w:val="21"/>
                <w:rtl w:val="0"/>
              </w:rPr>
              <w:t xml:space="preserve">- não implementada.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after="240" w:before="240" w:line="276" w:lineRule="auto"/>
              <w:ind w:left="0" w:firstLine="0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A partir das evidências coletadas e do resultado do monitoramento, podem ser s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ugeridos novos encaminhamentos, quando esta medida se mostrar útil aos objetivos da decisão/item decisório monitorado.</w:t>
            </w:r>
          </w:p>
          <w:p w:rsidR="00000000" w:rsidDel="00000000" w:rsidP="00000000" w:rsidRDefault="00000000" w:rsidRPr="00000000" w14:paraId="0000002C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Encaminhamentos adicionais podem ser úteis, e agregar valor ao trabalho, especialmente (mas não apenas) quando o resultado do monitoramento revelar situação de cumprimento parcial ou descumprimento total da decisão/item decisório.</w:t>
            </w:r>
          </w:p>
          <w:p w:rsidR="00000000" w:rsidDel="00000000" w:rsidP="00000000" w:rsidRDefault="00000000" w:rsidRPr="00000000" w14:paraId="0000002E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Caso se mostre necessário avaliar eventual responsabilização de agentes com responsabilidades sobre o inadimplemento (total ou parcial) da decisão/item decisório, inclusive para fins de proposta de encaminhamento de natureza sancionatória ou de imputação de débito, deve ser utilizado e preenchido o papel de trabalho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Matriz de Responsabilização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30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Em geral, os benefícios são relacionados ao que se esperava alcançar com a implementação da decisão/item decisório, quando do planejamento da fiscalização. </w:t>
            </w:r>
          </w:p>
          <w:p w:rsidR="00000000" w:rsidDel="00000000" w:rsidP="00000000" w:rsidRDefault="00000000" w:rsidRPr="00000000" w14:paraId="00000033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Entretanto, é possível que outros benefícios sejam identificados durante a execução do planejamento, os quais devem ser igualmente registrados nesta matriz.</w:t>
            </w:r>
          </w:p>
          <w:p w:rsidR="00000000" w:rsidDel="00000000" w:rsidP="00000000" w:rsidRDefault="00000000" w:rsidRPr="00000000" w14:paraId="00000035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Devem ser descritos os benefícios efetivos identificados, tanto os de natureza quantitativa (quantificar sempre que possível) como os de natureza qualitativa.</w:t>
            </w:r>
          </w:p>
          <w:p w:rsidR="00000000" w:rsidDel="00000000" w:rsidP="00000000" w:rsidRDefault="00000000" w:rsidRPr="00000000" w14:paraId="00000037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9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56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20"/>
        <w:gridCol w:w="12645"/>
        <w:tblGridChange w:id="0">
          <w:tblGrid>
            <w:gridCol w:w="1920"/>
            <w:gridCol w:w="12645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3C">
            <w:pPr>
              <w:spacing w:after="57" w:before="57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COORDENADOR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D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3E">
            <w:pPr>
              <w:spacing w:after="57" w:before="57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EQUIPE:</w:t>
            </w:r>
          </w:p>
          <w:p w:rsidR="00000000" w:rsidDel="00000000" w:rsidP="00000000" w:rsidRDefault="00000000" w:rsidRPr="00000000" w14:paraId="0000003F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XXXX</w:t>
            </w:r>
          </w:p>
          <w:p w:rsidR="00000000" w:rsidDel="00000000" w:rsidP="00000000" w:rsidRDefault="00000000" w:rsidRPr="00000000" w14:paraId="00000040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YYYY</w:t>
            </w:r>
          </w:p>
          <w:p w:rsidR="00000000" w:rsidDel="00000000" w:rsidP="00000000" w:rsidRDefault="00000000" w:rsidRPr="00000000" w14:paraId="00000041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ZZZZ</w:t>
            </w:r>
          </w:p>
        </w:tc>
      </w:tr>
    </w:tbl>
    <w:p w:rsidR="00000000" w:rsidDel="00000000" w:rsidP="00000000" w:rsidRDefault="00000000" w:rsidRPr="00000000" w14:paraId="00000043">
      <w:pPr>
        <w:widowControl w:val="1"/>
        <w:rPr>
          <w:rFonts w:ascii="Arial" w:cs="Arial" w:eastAsia="Arial" w:hAnsi="Arial"/>
          <w:b w:val="1"/>
          <w:sz w:val="22"/>
          <w:szCs w:val="22"/>
        </w:rPr>
        <w:sectPr>
          <w:headerReference r:id="rId7" w:type="default"/>
          <w:headerReference r:id="rId8" w:type="first"/>
          <w:headerReference r:id="rId9" w:type="even"/>
          <w:footerReference r:id="rId10" w:type="default"/>
          <w:footerReference r:id="rId11" w:type="first"/>
          <w:footerReference r:id="rId12" w:type="even"/>
          <w:pgSz w:h="11905" w:w="16837" w:orient="landscape"/>
          <w:pgMar w:bottom="1133" w:top="1700" w:left="1133" w:right="1133" w:header="284" w:footer="284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tabs>
          <w:tab w:val="center" w:leader="none" w:pos="4252"/>
          <w:tab w:val="right" w:leader="none" w:pos="8504"/>
        </w:tabs>
        <w:rPr>
          <w:rFonts w:ascii="Arial" w:cs="Arial" w:eastAsia="Arial" w:hAnsi="Arial"/>
          <w:b w:val="1"/>
          <w:color w:val="1c4587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tabs>
          <w:tab w:val="center" w:leader="none" w:pos="4252"/>
          <w:tab w:val="right" w:leader="none" w:pos="8504"/>
        </w:tabs>
        <w:rPr>
          <w:rFonts w:ascii="Arial" w:cs="Arial" w:eastAsia="Arial" w:hAnsi="Arial"/>
          <w:b w:val="1"/>
          <w:color w:val="1c4587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1c4587"/>
          <w:sz w:val="20"/>
          <w:szCs w:val="20"/>
          <w:rtl w:val="0"/>
        </w:rPr>
        <w:t xml:space="preserve">Orientações para preenchimento da Matriz de Atendimento das Deliberações</w:t>
      </w:r>
    </w:p>
    <w:p w:rsidR="00000000" w:rsidDel="00000000" w:rsidP="00000000" w:rsidRDefault="00000000" w:rsidRPr="00000000" w14:paraId="00000046">
      <w:pPr>
        <w:tabs>
          <w:tab w:val="center" w:leader="none" w:pos="4252"/>
          <w:tab w:val="right" w:leader="none" w:pos="8504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40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26"/>
        <w:gridCol w:w="7581"/>
        <w:tblGridChange w:id="0">
          <w:tblGrid>
            <w:gridCol w:w="1826"/>
            <w:gridCol w:w="7581"/>
          </w:tblGrid>
        </w:tblGridChange>
      </w:tblGrid>
      <w:tr>
        <w:trPr>
          <w:cantSplit w:val="0"/>
          <w:trHeight w:val="545" w:hRule="atLeast"/>
          <w:tblHeader w:val="0"/>
        </w:trPr>
        <w:tc>
          <w:tcPr>
            <w:tcBorders>
              <w:top w:color="6d9eeb" w:space="0" w:sz="8" w:val="single"/>
              <w:left w:color="6d9eeb" w:space="0" w:sz="8" w:val="single"/>
              <w:bottom w:color="93c47d" w:space="0" w:sz="12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7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Objetivo do modelo do papel de trabalho</w:t>
            </w:r>
          </w:p>
        </w:tc>
        <w:tc>
          <w:tcPr>
            <w:tcBorders>
              <w:top w:color="6d9eeb" w:space="0" w:sz="8" w:val="single"/>
              <w:left w:color="93c47d" w:space="0" w:sz="8" w:val="single"/>
              <w:bottom w:color="93c47d" w:space="0" w:sz="12" w:val="single"/>
              <w:right w:color="6d9eeb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8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 objetivo deste papel de trabalho é possibilitar o registro das evidências e do resultado do monitoramento para cada decisão ou item decisório alcançado pelo trabalho de fiscalização. Esta Matriz  deve ser preenchida durante a fase de execução da inspeção, à medida que as evidências forem encontradas, e os resultados forem sendo constatados.</w:t>
            </w:r>
          </w:p>
        </w:tc>
      </w:tr>
      <w:tr>
        <w:trPr>
          <w:cantSplit w:val="0"/>
          <w:trHeight w:val="362" w:hRule="atLeast"/>
          <w:tblHeader w:val="0"/>
        </w:trPr>
        <w:tc>
          <w:tcPr>
            <w:tcBorders>
              <w:top w:color="93c47d" w:space="0" w:sz="12" w:val="single"/>
              <w:left w:color="6d9eeb" w:space="0" w:sz="8" w:val="single"/>
              <w:bottom w:color="93c47d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9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Requisitos e Princípios NBASP</w:t>
            </w:r>
          </w:p>
        </w:tc>
        <w:tc>
          <w:tcPr>
            <w:tcBorders>
              <w:top w:color="93c47d" w:space="0" w:sz="12" w:val="single"/>
              <w:left w:color="93c47d" w:space="0" w:sz="8" w:val="single"/>
              <w:bottom w:color="93c47d" w:space="0" w:sz="8" w:val="single"/>
              <w:right w:color="6d9eeb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A">
            <w:pPr>
              <w:spacing w:line="276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Nível 1 – Institucional dos Tribunais de Contas: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line="276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NBASP 10/31 – TC tem a liberdade de deliberar sobre recomendações e determinações (proposta de encaminhamento)</w:t>
            </w:r>
          </w:p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NBASP 12/8 – TC exerce ação independente por meio de recomendações e determinações (proposta de encaminhamento);</w:t>
            </w:r>
          </w:p>
          <w:p w:rsidR="00000000" w:rsidDel="00000000" w:rsidP="00000000" w:rsidRDefault="00000000" w:rsidRPr="00000000" w14:paraId="0000004D">
            <w:pPr>
              <w:spacing w:line="276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NBASP 20/18 – recomendações e determinações estão sujeitas a resposta da entidade auditada (proposta de encaminhamento);</w:t>
            </w:r>
          </w:p>
          <w:p w:rsidR="00000000" w:rsidDel="00000000" w:rsidP="00000000" w:rsidRDefault="00000000" w:rsidRPr="00000000" w14:paraId="0000004E">
            <w:pPr>
              <w:spacing w:line="276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line="276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Nível 2 – Princípios Fundamentais de Auditoria do Setor Público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line="276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NBASP 100/22 – recomendações para aperfeiçoamento em operacionais (proposta de encaminhamento);</w:t>
            </w:r>
          </w:p>
          <w:p w:rsidR="00000000" w:rsidDel="00000000" w:rsidP="00000000" w:rsidRDefault="00000000" w:rsidRPr="00000000" w14:paraId="00000051">
            <w:pPr>
              <w:spacing w:line="276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NBASP 100/27 – completude, confiabilidade e objetividade (critérios);</w:t>
            </w:r>
          </w:p>
          <w:p w:rsidR="00000000" w:rsidDel="00000000" w:rsidP="00000000" w:rsidRDefault="00000000" w:rsidRPr="00000000" w14:paraId="00000052">
            <w:pPr>
              <w:spacing w:line="276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NBASP 100/32 - nível de asseguração – a construção do achado interfere no nível de asseguração (descrição do achado);</w:t>
            </w:r>
          </w:p>
          <w:p w:rsidR="00000000" w:rsidDel="00000000" w:rsidP="00000000" w:rsidRDefault="00000000" w:rsidRPr="00000000" w14:paraId="00000053">
            <w:pPr>
              <w:spacing w:line="276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NBASP 100/46 – avaliação de risco pode ser revisitada em resposta aos achados (descrição do achado)</w:t>
            </w:r>
          </w:p>
          <w:p w:rsidR="00000000" w:rsidDel="00000000" w:rsidP="00000000" w:rsidRDefault="00000000" w:rsidRPr="00000000" w14:paraId="00000054">
            <w:pPr>
              <w:spacing w:line="276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NBASP 100/49 e 50 – discussão dos achados preliminares com a entidade auditada (evidências);</w:t>
            </w:r>
          </w:p>
          <w:p w:rsidR="00000000" w:rsidDel="00000000" w:rsidP="00000000" w:rsidRDefault="00000000" w:rsidRPr="00000000" w14:paraId="00000055">
            <w:pPr>
              <w:spacing w:line="276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NBASP 100/51- Relatório – achados colocados em perspectiva (descrição do achado)</w:t>
            </w:r>
          </w:p>
          <w:p w:rsidR="00000000" w:rsidDel="00000000" w:rsidP="00000000" w:rsidRDefault="00000000" w:rsidRPr="00000000" w14:paraId="00000056">
            <w:pPr>
              <w:spacing w:line="276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93c47d" w:space="0" w:sz="8" w:val="single"/>
              <w:left w:color="6d9eeb" w:space="0" w:sz="8" w:val="single"/>
              <w:bottom w:color="93c47d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7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Guia</w:t>
            </w:r>
          </w:p>
        </w:tc>
        <w:tc>
          <w:tcPr>
            <w:tcBorders>
              <w:top w:color="93c47d" w:space="0" w:sz="8" w:val="single"/>
              <w:left w:color="93c47d" w:space="0" w:sz="8" w:val="single"/>
              <w:bottom w:color="93c47d" w:space="0" w:sz="8" w:val="single"/>
              <w:right w:color="6d9eeb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8">
            <w:pPr>
              <w:spacing w:after="120" w:before="240" w:line="276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Os resultados são definidos a partir da comparação realizada pela equipe de fiscalização entre as evidências obtidas e as deliberações monitoradas, e devem ser registrados pela equipe mediante o preenchimento do papel de trabalho denominado Matriz de Atendimento das Deliberações.</w:t>
            </w:r>
          </w:p>
          <w:p w:rsidR="00000000" w:rsidDel="00000000" w:rsidP="00000000" w:rsidRDefault="00000000" w:rsidRPr="00000000" w14:paraId="00000059">
            <w:pPr>
              <w:spacing w:after="120" w:before="240" w:line="276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 Matriz de Atendimento das Deliberações faz parte do processo de documentação das evidências obtidas ao longo da fiscalização e utilizadas para fundamentar o resultado do monitoramento de cada deliberação monitorada. </w:t>
            </w:r>
          </w:p>
          <w:p w:rsidR="00000000" w:rsidDel="00000000" w:rsidP="00000000" w:rsidRDefault="00000000" w:rsidRPr="00000000" w14:paraId="0000005A">
            <w:pPr>
              <w:spacing w:after="120" w:before="240" w:line="276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Alguns resultados do monitoramento, como as hipóteses de “não implementação” ou “implementação parcial” de decisão/item decisório, ou cumprimentos intempestivos, podem indicar necessidade de avaliação de elementos que compõem a responsabilidade subjetiva de agentes públicos, por suas ações ou omissões, perante a esfera de controle. Em sendo o caso, a equipe, se entender pela existência de elementos que apontem para possível responsabilização de um ou mais agentes, deve elaborar o papel de trabalho denominado “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Matriz de Responsabilização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”, cujo objetivo é auxiliar na identificação dos responsáveis por irregularidades, especificação das condutas impugnadas, estabelecimento das relações de causa e efeito e, finalmente, aferição da culpabilidade dos agentes, propondo um encaminhamento compatível com as circunstâncias do caso examinado.</w:t>
            </w:r>
          </w:p>
        </w:tc>
      </w:tr>
      <w:tr>
        <w:trPr>
          <w:cantSplit w:val="0"/>
          <w:trHeight w:val="693" w:hRule="atLeast"/>
          <w:tblHeader w:val="0"/>
        </w:trPr>
        <w:tc>
          <w:tcPr>
            <w:tcBorders>
              <w:top w:color="93c47d" w:space="0" w:sz="8" w:val="single"/>
              <w:left w:color="6d9eeb" w:space="0" w:sz="8" w:val="single"/>
              <w:bottom w:color="93c47d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B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Conclusão</w:t>
            </w:r>
          </w:p>
        </w:tc>
        <w:tc>
          <w:tcPr>
            <w:tcBorders>
              <w:top w:color="93c47d" w:space="0" w:sz="8" w:val="single"/>
              <w:left w:color="93c47d" w:space="0" w:sz="8" w:val="single"/>
              <w:bottom w:color="93c47d" w:space="0" w:sz="8" w:val="single"/>
              <w:right w:color="6d9eeb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C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 coordenador e o supervisor da equipe de inspeção precisam verificar se foram consideradas de maneira adequada o previsto no Plano de Monitoramento.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93c47d" w:space="0" w:sz="8" w:val="single"/>
              <w:left w:color="6d9eeb" w:space="0" w:sz="8" w:val="single"/>
              <w:bottom w:color="6d9eeb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D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Evidências de preparação e revisão </w:t>
            </w:r>
          </w:p>
        </w:tc>
        <w:tc>
          <w:tcPr>
            <w:tcBorders>
              <w:top w:color="93c47d" w:space="0" w:sz="8" w:val="single"/>
              <w:left w:color="93c47d" w:space="0" w:sz="8" w:val="single"/>
              <w:bottom w:color="6d9eeb" w:space="0" w:sz="8" w:val="single"/>
              <w:right w:color="6d9eeb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E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 tabela indicando o nome das pessoas que elaboraram e documentaram a matriz, bem como seu(s) revisor(es) deverão ser preenchidas ao final. </w:t>
            </w:r>
          </w:p>
        </w:tc>
      </w:tr>
    </w:tbl>
    <w:p w:rsidR="00000000" w:rsidDel="00000000" w:rsidP="00000000" w:rsidRDefault="00000000" w:rsidRPr="00000000" w14:paraId="0000005F">
      <w:pPr>
        <w:widowControl w:val="1"/>
        <w:spacing w:line="276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sectPr>
      <w:type w:val="nextPage"/>
      <w:pgSz w:h="16837" w:w="11905" w:orient="portrait"/>
      <w:pgMar w:bottom="1133" w:top="1133" w:left="1700" w:right="1133" w:header="284" w:footer="284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Calibri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asa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center"/>
      <w:rPr>
        <w:rFonts w:ascii="Rasa" w:cs="Rasa" w:eastAsia="Rasa" w:hAnsi="Rasa"/>
        <w:color w:val="000000"/>
        <w:sz w:val="20"/>
        <w:szCs w:val="20"/>
      </w:rPr>
    </w:pPr>
    <w:r w:rsidDel="00000000" w:rsidR="00000000" w:rsidRPr="00000000">
      <w:rPr>
        <w:rFonts w:ascii="Rasa" w:cs="Rasa" w:eastAsia="Rasa" w:hAnsi="Rasa"/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7285"/>
        <w:tab w:val="right" w:leader="none" w:pos="14570"/>
      </w:tabs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2">
    <w:pPr>
      <w:widowControl w:val="1"/>
      <w:tabs>
        <w:tab w:val="center" w:leader="none" w:pos="4252"/>
        <w:tab w:val="right" w:leader="none" w:pos="8504"/>
      </w:tabs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  <w:tbl>
    <w:tblPr>
      <w:tblStyle w:val="Table5"/>
      <w:tblW w:w="1266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00"/>
      <w:gridCol w:w="9660"/>
      <w:tblGridChange w:id="0">
        <w:tblGrid>
          <w:gridCol w:w="3000"/>
          <w:gridCol w:w="966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63">
          <w:pPr>
            <w:widowControl w:val="1"/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  <w:sz w:val="22"/>
              <w:szCs w:val="22"/>
            </w:rPr>
          </w:pPr>
          <w:bookmarkStart w:colFirst="0" w:colLast="0" w:name="_heading=h.gjdgxs" w:id="2"/>
          <w:bookmarkEnd w:id="2"/>
          <w:r w:rsidDel="00000000" w:rsidR="00000000" w:rsidRPr="00000000">
            <w:rPr>
              <w:sz w:val="22"/>
              <w:szCs w:val="22"/>
            </w:rPr>
            <w:drawing>
              <wp:inline distB="0" distT="0" distL="0" distR="0">
                <wp:extent cx="1295400" cy="704850"/>
                <wp:effectExtent b="0" l="0" r="0" t="0"/>
                <wp:docPr id="2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64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65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66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  <w:sz w:val="22"/>
              <w:szCs w:val="22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sz w:val="22"/>
              <w:szCs w:val="22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67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sz w:val="22"/>
              <w:szCs w:val="22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8">
    <w:pPr>
      <w:widowControl w:val="1"/>
      <w:tabs>
        <w:tab w:val="center" w:leader="none" w:pos="4252"/>
        <w:tab w:val="right" w:leader="none" w:pos="8504"/>
      </w:tabs>
      <w:rPr>
        <w:rFonts w:ascii="Rasa" w:cs="Rasa" w:eastAsia="Rasa" w:hAnsi="Rasa"/>
        <w:b w:val="1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7285"/>
        <w:tab w:val="right" w:leader="none" w:pos="14570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t-B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Arial" w:cs="Arial" w:eastAsia="Arial" w:hAnsi="Arial"/>
      <w:sz w:val="28"/>
      <w:szCs w:val="28"/>
    </w:rPr>
  </w:style>
  <w:style w:type="paragraph" w:styleId="Normal" w:default="1">
    <w:name w:val="Normal"/>
    <w:qFormat w:val="1"/>
    <w:pPr>
      <w:suppressAutoHyphens w:val="1"/>
    </w:pPr>
    <w:rPr>
      <w:rFonts w:cs="Mangal" w:eastAsia="Lucida Sans Unicode"/>
      <w:kern w:val="1"/>
      <w:lang w:bidi="hi-IN" w:eastAsia="hi-IN"/>
    </w:rPr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Ttulo10"/>
    <w:next w:val="Subttulo"/>
    <w:qFormat w:val="1"/>
  </w:style>
  <w:style w:type="paragraph" w:styleId="Ttulo10" w:customStyle="1">
    <w:name w:val="Título1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Subttulo">
    <w:name w:val="Subtitle"/>
    <w:basedOn w:val="Normal"/>
    <w:next w:val="Normal"/>
    <w:pPr>
      <w:keepNext w:val="1"/>
      <w:spacing w:after="120" w:before="240"/>
      <w:jc w:val="center"/>
    </w:pPr>
    <w:rPr>
      <w:rFonts w:ascii="Arial" w:cs="Arial" w:eastAsia="Arial" w:hAnsi="Arial"/>
      <w:i w:val="1"/>
      <w:sz w:val="28"/>
      <w:szCs w:val="28"/>
    </w:rPr>
  </w:style>
  <w:style w:type="paragraph" w:styleId="Lista">
    <w:name w:val="List"/>
    <w:basedOn w:val="Corpodetexto"/>
  </w:style>
  <w:style w:type="paragraph" w:styleId="Legenda1" w:customStyle="1">
    <w:name w:val="Legenda1"/>
    <w:basedOn w:val="Normal"/>
    <w:pPr>
      <w:suppressLineNumbers w:val="1"/>
      <w:spacing w:after="120" w:before="120"/>
    </w:pPr>
    <w:rPr>
      <w:i w:val="1"/>
      <w:iCs w:val="1"/>
    </w:rPr>
  </w:style>
  <w:style w:type="paragraph" w:styleId="ndice" w:customStyle="1">
    <w:name w:val="Índice"/>
    <w:basedOn w:val="Normal"/>
    <w:pPr>
      <w:suppressLineNumbers w:val="1"/>
    </w:pPr>
  </w:style>
  <w:style w:type="paragraph" w:styleId="Contedodetabela" w:customStyle="1">
    <w:name w:val="Conteúdo de tabela"/>
    <w:basedOn w:val="Normal"/>
    <w:pPr>
      <w:suppressLineNumbers w:val="1"/>
    </w:pPr>
  </w:style>
  <w:style w:type="paragraph" w:styleId="Cabealho">
    <w:name w:val="header"/>
    <w:basedOn w:val="Normal"/>
    <w:link w:val="CabealhoChar"/>
    <w:uiPriority w:val="99"/>
    <w:pPr>
      <w:suppressLineNumbers w:val="1"/>
      <w:tabs>
        <w:tab w:val="center" w:pos="7285"/>
        <w:tab w:val="right" w:pos="14570"/>
      </w:tabs>
    </w:pPr>
  </w:style>
  <w:style w:type="paragraph" w:styleId="Rodap">
    <w:name w:val="footer"/>
    <w:basedOn w:val="Normal"/>
    <w:link w:val="RodapChar"/>
    <w:uiPriority w:val="99"/>
    <w:rsid w:val="00A83D18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3F172D"/>
  </w:style>
  <w:style w:type="table" w:styleId="Tabelacomgrade">
    <w:name w:val="Table Grid"/>
    <w:basedOn w:val="Tabelanormal"/>
    <w:rsid w:val="00970E94"/>
    <w:pPr>
      <w:suppressAutoHyphens w:val="1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balo">
    <w:name w:val="Balloon Text"/>
    <w:basedOn w:val="Normal"/>
    <w:semiHidden w:val="1"/>
    <w:rsid w:val="004D2300"/>
    <w:rPr>
      <w:rFonts w:ascii="Tahoma" w:cs="Tahoma" w:hAnsi="Tahoma"/>
      <w:sz w:val="16"/>
      <w:szCs w:val="16"/>
    </w:rPr>
  </w:style>
  <w:style w:type="character" w:styleId="RodapChar" w:customStyle="1">
    <w:name w:val="Rodapé Char"/>
    <w:link w:val="Rodap"/>
    <w:uiPriority w:val="99"/>
    <w:rsid w:val="006148A2"/>
    <w:rPr>
      <w:rFonts w:cs="Mangal" w:eastAsia="Lucida Sans Unicode"/>
      <w:kern w:val="1"/>
      <w:sz w:val="24"/>
      <w:szCs w:val="24"/>
      <w:lang w:bidi="hi-IN" w:eastAsia="hi-IN"/>
    </w:rPr>
  </w:style>
  <w:style w:type="character" w:styleId="Refdecomentrio">
    <w:name w:val="annotation reference"/>
    <w:rsid w:val="00396E79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96E79"/>
    <w:rPr>
      <w:sz w:val="20"/>
      <w:szCs w:val="18"/>
    </w:rPr>
  </w:style>
  <w:style w:type="character" w:styleId="TextodecomentrioChar" w:customStyle="1">
    <w:name w:val="Texto de comentário Char"/>
    <w:link w:val="Textodecomentrio"/>
    <w:rsid w:val="00396E79"/>
    <w:rPr>
      <w:rFonts w:cs="Mangal" w:eastAsia="Lucida Sans Unicode"/>
      <w:kern w:val="1"/>
      <w:szCs w:val="18"/>
      <w:lang w:bidi="hi-IN" w:eastAsia="hi-IN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396E79"/>
    <w:rPr>
      <w:b w:val="1"/>
      <w:bCs w:val="1"/>
    </w:rPr>
  </w:style>
  <w:style w:type="character" w:styleId="AssuntodocomentrioChar" w:customStyle="1">
    <w:name w:val="Assunto do comentário Char"/>
    <w:link w:val="Assuntodocomentrio"/>
    <w:rsid w:val="00396E79"/>
    <w:rPr>
      <w:rFonts w:cs="Mangal" w:eastAsia="Lucida Sans Unicode"/>
      <w:b w:val="1"/>
      <w:bCs w:val="1"/>
      <w:kern w:val="1"/>
      <w:szCs w:val="18"/>
      <w:lang w:bidi="hi-IN" w:eastAsia="hi-IN"/>
    </w:rPr>
  </w:style>
  <w:style w:type="character" w:styleId="CabealhoChar" w:customStyle="1">
    <w:name w:val="Cabeçalho Char"/>
    <w:link w:val="Cabealho"/>
    <w:uiPriority w:val="99"/>
    <w:rsid w:val="00A32529"/>
    <w:rPr>
      <w:rFonts w:cs="Mangal" w:eastAsia="Lucida Sans Unicode"/>
      <w:kern w:val="1"/>
      <w:sz w:val="24"/>
      <w:szCs w:val="24"/>
      <w:lang w:bidi="hi-IN" w:eastAsia="hi-IN"/>
    </w:rPr>
  </w:style>
  <w:style w:type="table" w:styleId="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"/>
    <w:pPr>
      <w:widowControl w:val="1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5" w:customStyle="1">
    <w:basedOn w:val="TableNormal"/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i w:val="1"/>
      <w:sz w:val="28"/>
      <w:szCs w:val="28"/>
    </w:rPr>
  </w:style>
  <w:style w:type="table" w:styleId="Table1">
    <w:basedOn w:val="TableNormal"/>
    <w:pPr>
      <w:widowControl w:val="1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widowControl w:val="1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pPr>
      <w:widowControl w:val="1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4">
    <w:basedOn w:val="TableNormal"/>
    <w:pPr>
      <w:widowControl w:val="1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5">
    <w:basedOn w:val="TableNormal"/>
    <w:pPr>
      <w:widowControl w:val="1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Rasa-regular.ttf"/><Relationship Id="rId6" Type="http://schemas.openxmlformats.org/officeDocument/2006/relationships/font" Target="fonts/Rasa-bold.ttf"/><Relationship Id="rId7" Type="http://schemas.openxmlformats.org/officeDocument/2006/relationships/font" Target="fonts/Rasa-italic.ttf"/><Relationship Id="rId8" Type="http://schemas.openxmlformats.org/officeDocument/2006/relationships/font" Target="fonts/Rasa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+2zQ5iH1eAfeeJwuVbIbymjCV1g==">CgMxLjAyCWguMzBqMHpsbDIOaC5sYWJvdDlwbXFwb2kyCGguZ2pkZ3hzOAByITFnVjBYaE1Sd0tITlFQX2xjekQ4cVZTWVVFTHRrVzFKbg==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2024-02-28T19:09:00Z</dcterms:created>
  <dc:creator>Ana Paula de Araujo Rocha</dc:creator>
</cp:coreProperties>
</file>