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MATRIZ DE RESPONSABILIZAÇÃO </w:t>
      </w:r>
    </w:p>
    <w:p w:rsidR="00000000" w:rsidDel="00000000" w:rsidP="00000000" w:rsidRDefault="00000000" w:rsidRPr="00000000" w14:paraId="00000002">
      <w:pPr>
        <w:spacing w:before="58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565.0" w:type="dxa"/>
        <w:jc w:val="left"/>
        <w:tblInd w:w="-4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50"/>
        <w:gridCol w:w="11715"/>
        <w:tblGridChange w:id="0">
          <w:tblGrid>
            <w:gridCol w:w="2850"/>
            <w:gridCol w:w="1171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3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" w:hRule="atLeast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5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jc w:val="both"/>
        <w:rPr>
          <w:rFonts w:ascii="Rasa" w:cs="Rasa" w:eastAsia="Rasa" w:hAnsi="Ras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80.0" w:type="dxa"/>
        <w:jc w:val="left"/>
        <w:tblInd w:w="-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10"/>
        <w:gridCol w:w="11670"/>
        <w:tblGridChange w:id="0">
          <w:tblGrid>
            <w:gridCol w:w="2910"/>
            <w:gridCol w:w="11670"/>
          </w:tblGrid>
        </w:tblGridChange>
      </w:tblGrid>
      <w:tr>
        <w:trPr>
          <w:cantSplit w:val="0"/>
          <w:trHeight w:val="787" w:hRule="atLeast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8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OBJETIVO D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 A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COMPANHAMENTO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rPr>
          <w:rFonts w:ascii="Rasa" w:cs="Rasa" w:eastAsia="Rasa" w:hAnsi="Ras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600.0" w:type="dxa"/>
        <w:jc w:val="left"/>
        <w:tblInd w:w="-72.0" w:type="dxa"/>
        <w:tblLayout w:type="fixed"/>
        <w:tblLook w:val="0000"/>
      </w:tblPr>
      <w:tblGrid>
        <w:gridCol w:w="1635"/>
        <w:gridCol w:w="1740"/>
        <w:gridCol w:w="1500"/>
        <w:gridCol w:w="2490"/>
        <w:gridCol w:w="2925"/>
        <w:gridCol w:w="2190"/>
        <w:gridCol w:w="2120"/>
        <w:tblGridChange w:id="0">
          <w:tblGrid>
            <w:gridCol w:w="1635"/>
            <w:gridCol w:w="1740"/>
            <w:gridCol w:w="1500"/>
            <w:gridCol w:w="2490"/>
            <w:gridCol w:w="2925"/>
            <w:gridCol w:w="2190"/>
            <w:gridCol w:w="2120"/>
          </w:tblGrid>
        </w:tblGridChange>
      </w:tblGrid>
      <w:tr>
        <w:trPr>
          <w:cantSplit w:val="0"/>
          <w:trHeight w:val="3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ACHADO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RESPONSÁVEL (IS)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PERIODO DE EXERCICIO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CONDUTA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NEXO DE CAUSALIDADE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(entre a conduta e o resultado ilícito)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CULPABILIDADE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SANÇÕES </w:t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(SE CABÍVEIS)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4"/>
                <w:szCs w:val="14"/>
                <w:rtl w:val="0"/>
              </w:rPr>
              <w:t xml:space="preserve">Detalhar somente os achados que se constituem em falhas ou irregularidades. (1)</w:t>
            </w:r>
          </w:p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4"/>
                <w:szCs w:val="14"/>
                <w:rtl w:val="0"/>
              </w:rPr>
              <w:t xml:space="preserve">Indicar, além do nome, o cargo e o CPF do responsável pessoa física. (2)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4"/>
                <w:szCs w:val="14"/>
                <w:rtl w:val="0"/>
              </w:rPr>
              <w:t xml:space="preserve">Indicar sempre e para todos os responsáveis o período de exercício. (3)</w:t>
            </w:r>
          </w:p>
          <w:p w:rsidR="00000000" w:rsidDel="00000000" w:rsidP="00000000" w:rsidRDefault="00000000" w:rsidRPr="00000000" w14:paraId="00000020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4"/>
                <w:szCs w:val="14"/>
                <w:rtl w:val="0"/>
              </w:rPr>
              <w:t xml:space="preserve">Identificar a ação ou a omissão, culposa ou dolosa praticada pelo responsável. </w:t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4"/>
                <w:szCs w:val="14"/>
                <w:rtl w:val="0"/>
              </w:rPr>
              <w:t xml:space="preserve">Nos casos de ação, utilizar verbos no infinitivo, mencionar os documentos que comprovem a conduta adotada e indicar a conduta correta que deveria ter sido tomada.</w:t>
            </w:r>
          </w:p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4"/>
                <w:szCs w:val="14"/>
                <w:rtl w:val="0"/>
              </w:rPr>
              <w:t xml:space="preserve">Nos casos de omissão, indicar o que deveria ter sido feito. (4)</w:t>
            </w:r>
          </w:p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4"/>
                <w:szCs w:val="14"/>
                <w:rtl w:val="0"/>
              </w:rPr>
              <w:t xml:space="preserve">Ao descrever a conduta deve se destacar quaisquer medidas tomadas por pessoas responsáveis, durante o acompanhamento, para reparar a perda, o mau uso ou desperdício gerados;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4"/>
                <w:szCs w:val="14"/>
                <w:rtl w:val="0"/>
              </w:rPr>
              <w:t xml:space="preserve">Evidenciar a relação de causa e efeito entre a conduta do responsável e o resultado ilícito. (5)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4"/>
                <w:szCs w:val="14"/>
                <w:rtl w:val="0"/>
              </w:rPr>
              <w:t xml:space="preserve">(CONDUTA)...resultou… (RESULTADO ILÍCITO)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4"/>
                <w:szCs w:val="14"/>
                <w:rtl w:val="0"/>
              </w:rPr>
              <w:t xml:space="preserve">(CONDUTA)...propiciou... (RESULTADO ILÍCITO)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4"/>
                <w:szCs w:val="14"/>
                <w:rtl w:val="0"/>
              </w:rPr>
              <w:t xml:space="preserve">(CONDUTA)...possibilitou..(RESULTADO ILÍCITO) 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4"/>
                <w:szCs w:val="14"/>
                <w:rtl w:val="0"/>
              </w:rPr>
              <w:t xml:space="preserve">Sempre que for o caso, deve ser destacado no resultado do ilícito o valor da perda, do mau uso ou do desperdício gerado e o montante a ser ressarcido devido à responsabilidade pessoal;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4"/>
                <w:szCs w:val="14"/>
                <w:rtl w:val="0"/>
              </w:rPr>
              <w:t xml:space="preserve">Avaliar a reprovabilidade da conduta, trazendo resposta aos questionamentos propostos nas instruções de preenchimento da matriz. (6)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4"/>
                <w:szCs w:val="14"/>
                <w:rtl w:val="0"/>
              </w:rPr>
              <w:t xml:space="preserve">Devem ser destacados também os argumentos da administração sobre os atos de conformidade ou ilícitos;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4"/>
                <w:szCs w:val="14"/>
                <w:rtl w:val="0"/>
              </w:rPr>
              <w:t xml:space="preserve">Descrever as sugestões de sanções e seus respectivos fundamentos legais.</w:t>
            </w:r>
          </w:p>
          <w:p w:rsidR="00000000" w:rsidDel="00000000" w:rsidP="00000000" w:rsidRDefault="00000000" w:rsidRPr="00000000" w14:paraId="0000003C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4"/>
                <w:szCs w:val="14"/>
                <w:rtl w:val="0"/>
              </w:rPr>
              <w:t xml:space="preserve">Na fase de avaliação de responsabilidades, caso a equipe avalie a conduta como de reduzido grau de reprovabilidade ou de contribuição para o resultado, ou ainda que o resultado observado seja de baixo potencial de dano, poderá, no exercício de sua avaliação independente, se manifestar pelo afastamento das penalidades cabíveis ou sua aplicação nos mínimos legais. </w:t>
            </w:r>
          </w:p>
          <w:p w:rsidR="00000000" w:rsidDel="00000000" w:rsidP="00000000" w:rsidRDefault="00000000" w:rsidRPr="00000000" w14:paraId="0000003E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Arial" w:cs="Arial" w:eastAsia="Arial" w:hAnsi="Arial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4"/>
                <w:szCs w:val="14"/>
                <w:rtl w:val="0"/>
              </w:rPr>
              <w:t xml:space="preserve">Caso a equipe de fiscalização avalie que o responsável está amparado por alguma excludente de ilicitude ou de culpabilidade, deve ser indicada qual, seguida do registro pela inaplicabilidade de sanção.</w:t>
            </w:r>
          </w:p>
        </w:tc>
      </w:tr>
    </w:tbl>
    <w:p w:rsidR="00000000" w:rsidDel="00000000" w:rsidP="00000000" w:rsidRDefault="00000000" w:rsidRPr="00000000" w14:paraId="00000040">
      <w:pPr>
        <w:jc w:val="both"/>
        <w:rPr>
          <w:rFonts w:ascii="Rasa" w:cs="Rasa" w:eastAsia="Rasa" w:hAnsi="Ras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35.0" w:type="dxa"/>
        <w:jc w:val="left"/>
        <w:tblInd w:w="-9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65"/>
        <w:gridCol w:w="11970"/>
        <w:tblGridChange w:id="0">
          <w:tblGrid>
            <w:gridCol w:w="2265"/>
            <w:gridCol w:w="11970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41">
            <w:pPr>
              <w:spacing w:after="57" w:before="57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3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44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45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46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48">
      <w:pPr>
        <w:jc w:val="both"/>
        <w:rPr>
          <w:rFonts w:ascii="Arial" w:cs="Arial" w:eastAsia="Arial" w:hAnsi="Arial"/>
          <w:b w:val="1"/>
          <w:color w:val="1c4587"/>
          <w:sz w:val="20"/>
          <w:szCs w:val="20"/>
        </w:rPr>
        <w:sectPr>
          <w:headerReference r:id="rId7" w:type="default"/>
          <w:footerReference r:id="rId8" w:type="default"/>
          <w:pgSz w:h="11905" w:w="16837" w:orient="landscape"/>
          <w:pgMar w:bottom="1134" w:top="1701" w:left="1701" w:right="1134" w:header="709" w:footer="709"/>
          <w:pgNumType w:start="1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center" w:leader="none" w:pos="4252"/>
          <w:tab w:val="right" w:leader="none" w:pos="8504"/>
        </w:tabs>
        <w:rPr>
          <w:rFonts w:ascii="Arial" w:cs="Arial" w:eastAsia="Arial" w:hAnsi="Arial"/>
          <w:b w:val="1"/>
          <w:color w:val="1c4587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sz w:val="20"/>
          <w:szCs w:val="20"/>
          <w:rtl w:val="0"/>
        </w:rPr>
        <w:t xml:space="preserve">Orientações para preenchimento da Matriz de Responsabilização</w:t>
      </w:r>
    </w:p>
    <w:p w:rsidR="00000000" w:rsidDel="00000000" w:rsidP="00000000" w:rsidRDefault="00000000" w:rsidRPr="00000000" w14:paraId="0000004A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40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26"/>
        <w:gridCol w:w="7581"/>
        <w:tblGridChange w:id="0">
          <w:tblGrid>
            <w:gridCol w:w="1826"/>
            <w:gridCol w:w="7581"/>
          </w:tblGrid>
        </w:tblGridChange>
      </w:tblGrid>
      <w:tr>
        <w:trPr>
          <w:cantSplit w:val="0"/>
          <w:trHeight w:val="725" w:hRule="atLeast"/>
          <w:tblHeader w:val="0"/>
        </w:trPr>
        <w:tc>
          <w:tcPr>
            <w:tcBorders>
              <w:top w:color="6d9eeb" w:space="0" w:sz="8" w:val="single"/>
              <w:left w:color="6d9eeb" w:space="0" w:sz="8" w:val="single"/>
              <w:bottom w:color="93c47d" w:space="0" w:sz="12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B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Objetivo do modelo do papel de trabalho</w:t>
            </w:r>
          </w:p>
        </w:tc>
        <w:tc>
          <w:tcPr>
            <w:tcBorders>
              <w:top w:color="6d9eeb" w:space="0" w:sz="8" w:val="single"/>
              <w:left w:color="93c47d" w:space="0" w:sz="8" w:val="single"/>
              <w:bottom w:color="93c47d" w:space="0" w:sz="12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C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objetivo deste papel de trabalho é que o auditor (ou equipe de fiscalização) registre sua conclusão quanto a existência de responsabilidade pessoal e subjetiva do agente que praticou conduta relacionada ao achado identificado. A Matriz de Responsabilização deve ser preenchida durante a fase de execução do acompanhamento, posterior ao registro dos achados.</w:t>
            </w:r>
          </w:p>
        </w:tc>
      </w:tr>
      <w:tr>
        <w:trPr>
          <w:cantSplit w:val="0"/>
          <w:trHeight w:val="534" w:hRule="atLeast"/>
          <w:tblHeader w:val="0"/>
        </w:trPr>
        <w:tc>
          <w:tcPr>
            <w:tcBorders>
              <w:top w:color="93c47d" w:space="0" w:sz="12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D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Requisitos e Princípios NBASP</w:t>
            </w:r>
          </w:p>
        </w:tc>
        <w:tc>
          <w:tcPr>
            <w:tcBorders>
              <w:top w:color="93c47d" w:space="0" w:sz="12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E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12/25;</w:t>
            </w:r>
          </w:p>
          <w:p w:rsidR="00000000" w:rsidDel="00000000" w:rsidP="00000000" w:rsidRDefault="00000000" w:rsidRPr="00000000" w14:paraId="0000004F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50/1.1.1-1.1.4; 3.1;3.4;4.4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0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Guia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1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responsabilidade pessoal pode ser medida pela extensão da participação da pessoa em uma transação não conforme (ilegal, desnecessária, excessiva, extravagante, desmedida), conforme indicado nos documentos de transações que ela assinou.</w:t>
            </w:r>
          </w:p>
          <w:p w:rsidR="00000000" w:rsidDel="00000000" w:rsidP="00000000" w:rsidRDefault="00000000" w:rsidRPr="00000000" w14:paraId="00000052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auditor deve realizar procedimentos para obter evidência de acompanhamentosuficiente e apropriada quanto à responsabilidade do agente público que pode ser responsabilizado por atos de não conformidade ou por atos ilícitos.</w:t>
            </w:r>
          </w:p>
          <w:p w:rsidR="00000000" w:rsidDel="00000000" w:rsidP="00000000" w:rsidRDefault="00000000" w:rsidRPr="00000000" w14:paraId="00000053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julgamento profissional para determinar se o agente público é ou não pessoalmente responsável por atos de não conformidade pode incluir:</w:t>
            </w:r>
          </w:p>
          <w:p w:rsidR="00000000" w:rsidDel="00000000" w:rsidP="00000000" w:rsidRDefault="00000000" w:rsidRPr="00000000" w14:paraId="00000054">
            <w:pPr>
              <w:spacing w:before="200" w:line="276" w:lineRule="auto"/>
              <w:ind w:left="850" w:firstLine="0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a) uma avaliação da forma como as responsabilidades mencionadas pela lei ou incluídas na descrição do cargo do agente público foram realizadas; </w:t>
            </w:r>
          </w:p>
          <w:p w:rsidR="00000000" w:rsidDel="00000000" w:rsidP="00000000" w:rsidRDefault="00000000" w:rsidRPr="00000000" w14:paraId="00000055">
            <w:pPr>
              <w:spacing w:before="200" w:line="276" w:lineRule="auto"/>
              <w:ind w:left="850" w:firstLine="0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b) determinar se o ato de não conformidade ou ilegal do agente público causou perda identificada, mau uso ou desperdício de fundos ou bens públicos; </w:t>
            </w:r>
          </w:p>
          <w:p w:rsidR="00000000" w:rsidDel="00000000" w:rsidP="00000000" w:rsidRDefault="00000000" w:rsidRPr="00000000" w14:paraId="00000056">
            <w:pPr>
              <w:spacing w:before="200" w:line="276" w:lineRule="auto"/>
              <w:ind w:left="850" w:firstLine="0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c) uma avaliação das possíveis circunstâncias excludentes de responsabilização, como as de ilicitude ou de culpabilidade (exemplos: artigos 20 a 26 do Código Penal; artigo 196 e seguintes da Lei estadual n° 20.756, de 28 de janeiro de 2020 e artigos 22 e 20 da Lei de Introdução às Normas do Direito Brasileiro-LINDB).</w:t>
            </w:r>
          </w:p>
          <w:p w:rsidR="00000000" w:rsidDel="00000000" w:rsidP="00000000" w:rsidRDefault="00000000" w:rsidRPr="00000000" w14:paraId="00000057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No relatório, o auditor precisa explicar os métodos aplicados para determinar se cada pessoa responsável envolvida na administração, gerenciamento, uso ou controle de recursos ou bens públicos é ou não responsável pelos atos de não conformidade.</w:t>
            </w:r>
          </w:p>
          <w:p w:rsidR="00000000" w:rsidDel="00000000" w:rsidP="00000000" w:rsidRDefault="00000000" w:rsidRPr="00000000" w14:paraId="00000058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Caso não tenha sido identificada responsabilidade pessoal do gestor pelos atos de não conformidade, este papel de trabalho pode ser dispensado.</w:t>
            </w:r>
          </w:p>
          <w:p w:rsidR="00000000" w:rsidDel="00000000" w:rsidP="00000000" w:rsidRDefault="00000000" w:rsidRPr="00000000" w14:paraId="00000059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Na mensuração da responsabilidade, devem ser respondidos os seguintes subtópicos:</w:t>
            </w:r>
          </w:p>
          <w:p w:rsidR="00000000" w:rsidDel="00000000" w:rsidP="00000000" w:rsidRDefault="00000000" w:rsidRPr="00000000" w14:paraId="0000005A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Na avaliação da reprovabilidade da conduta e na mensuração da responsabilidade pelos achados, podem auxiliar na elaboração da opinião técnica do auditor ou equipe de fiscalização a resposta aos seguintes itens:  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spacing w:before="200" w:line="276" w:lineRule="auto"/>
              <w:ind w:left="720" w:hanging="360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individualização das condutas das pessoas responsáveis e suas explicações sobre seus atos de não conformidade e/ou possíveis atos ilícitos, quando apropriado;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valor da perda, do mau uso ou do desperdício gerado e o montante a ser ressarcido devido à responsabilidade pessoal;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1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Quaisquer medidas tomadas por pessoas responsáveis, antes ou durante o acompanhamento, para reparar a perda, o mau uso ou desperdício gerados;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1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Os argumentos da administração sobre os atos de conformidade ou ilícitos;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1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Os obstáculos e as dificuldades reais do gestor e as exigências das políticas públicas a seu cargo, bem como as circunstâncias práticas que houverem imposto, limitado ou condicionado a ação do agente  (art. 22, caput e §1º da LINDB);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1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natureza e a gravidade da infração cometida, os danos que dela provierem para a administração pública, as circunstâncias agravantes ou atenuantes e os antecedentes do agente (art. 22, §2º da LINDB);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1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natureza e extensão das sanções legalmente previstas para o caso.</w:t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2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Conclusão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3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coordenador e o supervisor da equipe de fiscalização precisam verificar se foram considerados de maneira adequada todos os itens propostos na matriz de responsabilização.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6d9eeb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4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Evidências de preparação e revisão 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6d9eeb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5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tabela indicando o nome das pessoas que elaboraram e documentaram a matriz, bem como seu(s) revisor(es) deverão ser preenchidas ao final. 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6d9eeb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6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Materiais de apoio e consulta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6d9eeb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7">
            <w:pPr>
              <w:numPr>
                <w:ilvl w:val="0"/>
                <w:numId w:val="2"/>
              </w:numPr>
              <w:tabs>
                <w:tab w:val="center" w:leader="none" w:pos="4252"/>
                <w:tab w:val="right" w:leader="none" w:pos="8504"/>
              </w:tabs>
              <w:spacing w:before="58" w:lineRule="auto"/>
              <w:ind w:left="354" w:hanging="283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Responsabilização de agentes perante o Tribunal de Contas: </w:t>
            </w:r>
            <w:hyperlink r:id="rId9">
              <w:r w:rsidDel="00000000" w:rsidR="00000000" w:rsidRPr="00000000">
                <w:rPr>
                  <w:rFonts w:ascii="Arial" w:cs="Arial" w:eastAsia="Arial" w:hAnsi="Arial"/>
                  <w:color w:val="1155cc"/>
                  <w:sz w:val="16"/>
                  <w:szCs w:val="16"/>
                  <w:u w:val="single"/>
                  <w:rtl w:val="0"/>
                </w:rPr>
                <w:t xml:space="preserve">https://tcers.tc.br/repo/orientacoes_gestores/RESPONSABILIZACAO-AGENTES.pdf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ind w:left="354" w:hanging="283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2"/>
              </w:numPr>
              <w:tabs>
                <w:tab w:val="center" w:leader="none" w:pos="4252"/>
                <w:tab w:val="right" w:leader="none" w:pos="8504"/>
              </w:tabs>
              <w:spacing w:before="58" w:lineRule="auto"/>
              <w:ind w:left="354" w:hanging="283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Responsabilização de Agentes Segundo a Jurisprudência do TCU – Uma abordagem a partir de Licitações e Contratos. Aula 5 - Matriz de responsabilização - </w:t>
            </w:r>
            <w:hyperlink r:id="rId10">
              <w:r w:rsidDel="00000000" w:rsidR="00000000" w:rsidRPr="00000000">
                <w:rPr>
                  <w:rFonts w:ascii="Arial" w:cs="Arial" w:eastAsia="Arial" w:hAnsi="Arial"/>
                  <w:color w:val="1155cc"/>
                  <w:sz w:val="16"/>
                  <w:szCs w:val="16"/>
                  <w:u w:val="single"/>
                  <w:rtl w:val="0"/>
                </w:rPr>
                <w:t xml:space="preserve">https://portal.tcu.gov.br/biblioteca-digital/responsabilizacao-de-agentes-segundo-a-jurisprudencia-do-tcu-uma-abordagem-a-partir-de-licitacoes-e-contratos-aulas-1-a-5.htm</w:t>
              </w:r>
            </w:hyperlink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A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ind w:left="354" w:hanging="283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2"/>
              </w:numPr>
              <w:tabs>
                <w:tab w:val="center" w:leader="none" w:pos="4252"/>
                <w:tab w:val="right" w:leader="none" w:pos="8504"/>
              </w:tabs>
              <w:spacing w:before="58" w:lineRule="auto"/>
              <w:ind w:left="354" w:hanging="283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Da responsabilização do agente  e a desconsideração da personalidade jurídica no âmbito dos Tribunais de Contas - </w:t>
            </w:r>
            <w:hyperlink r:id="rId11">
              <w:r w:rsidDel="00000000" w:rsidR="00000000" w:rsidRPr="00000000">
                <w:rPr>
                  <w:rFonts w:ascii="Arial" w:cs="Arial" w:eastAsia="Arial" w:hAnsi="Arial"/>
                  <w:color w:val="1155cc"/>
                  <w:sz w:val="16"/>
                  <w:szCs w:val="16"/>
                  <w:u w:val="single"/>
                  <w:rtl w:val="0"/>
                </w:rPr>
                <w:t xml:space="preserve">https://revista.tce.mg.gov.br/revista/index.php/TCEMG/article/view/563/535</w:t>
              </w:r>
            </w:hyperlink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C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ind w:left="354" w:hanging="283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2"/>
              </w:numPr>
              <w:tabs>
                <w:tab w:val="center" w:leader="none" w:pos="4252"/>
                <w:tab w:val="right" w:leader="none" w:pos="8504"/>
              </w:tabs>
              <w:spacing w:before="58" w:lineRule="auto"/>
              <w:ind w:left="354" w:hanging="283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competência sancionadora dos Tribunais de Contas e o princípio da reserva legal - </w:t>
            </w:r>
            <w:hyperlink r:id="rId12">
              <w:r w:rsidDel="00000000" w:rsidR="00000000" w:rsidRPr="00000000">
                <w:rPr>
                  <w:rFonts w:ascii="Arial" w:cs="Arial" w:eastAsia="Arial" w:hAnsi="Arial"/>
                  <w:color w:val="1155cc"/>
                  <w:sz w:val="16"/>
                  <w:szCs w:val="16"/>
                  <w:u w:val="single"/>
                  <w:rtl w:val="0"/>
                </w:rPr>
                <w:t xml:space="preserve">https://www.conjur.com.br/2023-jan-10/viana-melo-competencia-sancionadora-tribunais-contas/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ind w:left="354" w:hanging="283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2"/>
              </w:numPr>
              <w:tabs>
                <w:tab w:val="center" w:leader="none" w:pos="4252"/>
                <w:tab w:val="right" w:leader="none" w:pos="8504"/>
              </w:tabs>
              <w:spacing w:before="58" w:lineRule="auto"/>
              <w:ind w:left="354" w:hanging="283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artigo 71 da Constituição da República comentado pelo Supremo Tribunal Federal - </w:t>
            </w:r>
            <w:hyperlink r:id="rId13">
              <w:r w:rsidDel="00000000" w:rsidR="00000000" w:rsidRPr="00000000">
                <w:rPr>
                  <w:rFonts w:ascii="Arial" w:cs="Arial" w:eastAsia="Arial" w:hAnsi="Arial"/>
                  <w:color w:val="1155cc"/>
                  <w:sz w:val="16"/>
                  <w:szCs w:val="16"/>
                  <w:u w:val="single"/>
                  <w:rtl w:val="0"/>
                </w:rPr>
                <w:t xml:space="preserve">https://portal.stf.jus.br/constituicao-supremo/artigo.asp?abrirBase=CF&amp;abrirArtigo=71</w:t>
              </w:r>
            </w:hyperlink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0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widowControl w:val="1"/>
        <w:spacing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type w:val="nextPage"/>
      <w:pgSz w:h="16837" w:w="11905" w:orient="portrait"/>
      <w:pgMar w:bottom="1133" w:top="1700" w:left="1700" w:right="1133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Calibri"/>
  <w:font w:name="Ras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3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6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74">
          <w:pPr>
            <w:widowControl w:val="1"/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bookmarkStart w:colFirst="0" w:colLast="0" w:name="_heading=h.gjdgxs" w:id="1"/>
          <w:bookmarkEnd w:id="1"/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75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76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77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78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9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  <w:qFormat w:val="1"/>
    <w:pPr>
      <w:suppressAutoHyphens w:val="1"/>
    </w:pPr>
    <w:rPr>
      <w:rFonts w:cs="Mangal" w:eastAsia="Lucida Sans Unicode"/>
      <w:kern w:val="1"/>
      <w:lang w:bidi="hi-IN" w:eastAsia="hi-IN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Ttulo10"/>
    <w:next w:val="Subttulo"/>
    <w:uiPriority w:val="10"/>
    <w:qFormat w:val="1"/>
  </w:style>
  <w:style w:type="paragraph" w:styleId="Ttulo10" w:customStyle="1">
    <w:name w:val="Título1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Subttulo">
    <w:name w:val="Subtitle"/>
    <w:basedOn w:val="Normal"/>
    <w:next w:val="Normal"/>
    <w:uiPriority w:val="11"/>
    <w:qFormat w:val="1"/>
    <w:pPr>
      <w:keepNext w:val="1"/>
      <w:spacing w:after="120" w:before="240"/>
      <w:jc w:val="center"/>
    </w:pPr>
    <w:rPr>
      <w:rFonts w:ascii="Arial" w:cs="Arial" w:eastAsia="Arial" w:hAnsi="Arial"/>
      <w:i w:val="1"/>
      <w:sz w:val="28"/>
      <w:szCs w:val="28"/>
    </w:rPr>
  </w:style>
  <w:style w:type="paragraph" w:styleId="Lista">
    <w:name w:val="List"/>
    <w:basedOn w:val="Corpodetexto"/>
  </w:style>
  <w:style w:type="paragraph" w:styleId="Legenda1" w:customStyle="1">
    <w:name w:val="Legenda1"/>
    <w:basedOn w:val="Normal"/>
    <w:pPr>
      <w:suppressLineNumbers w:val="1"/>
      <w:spacing w:after="120" w:before="120"/>
    </w:pPr>
    <w:rPr>
      <w:i w:val="1"/>
      <w:iCs w:val="1"/>
    </w:rPr>
  </w:style>
  <w:style w:type="paragraph" w:styleId="ndice" w:customStyle="1">
    <w:name w:val="Índice"/>
    <w:basedOn w:val="Normal"/>
    <w:pPr>
      <w:suppressLineNumbers w:val="1"/>
    </w:pPr>
  </w:style>
  <w:style w:type="paragraph" w:styleId="Cabealho">
    <w:name w:val="header"/>
    <w:basedOn w:val="Normal"/>
    <w:link w:val="CabealhoChar"/>
    <w:uiPriority w:val="99"/>
    <w:pPr>
      <w:suppressLineNumbers w:val="1"/>
      <w:tabs>
        <w:tab w:val="center" w:pos="7285"/>
        <w:tab w:val="right" w:pos="14570"/>
      </w:tabs>
    </w:pPr>
  </w:style>
  <w:style w:type="paragraph" w:styleId="Contedodetabela" w:customStyle="1">
    <w:name w:val="Conteúdo de tabela"/>
    <w:basedOn w:val="Normal"/>
    <w:pPr>
      <w:suppressLineNumbers w:val="1"/>
    </w:pPr>
  </w:style>
  <w:style w:type="paragraph" w:styleId="Rodap">
    <w:name w:val="footer"/>
    <w:basedOn w:val="Normal"/>
    <w:link w:val="RodapChar"/>
    <w:uiPriority w:val="99"/>
    <w:rsid w:val="005D46C9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F3F28"/>
  </w:style>
  <w:style w:type="table" w:styleId="Tabelacomgrade">
    <w:name w:val="Table Grid"/>
    <w:basedOn w:val="Tabelanormal"/>
    <w:rsid w:val="00C54467"/>
    <w:pPr>
      <w:suppressAutoHyphens w:val="1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o">
    <w:name w:val="Balloon Text"/>
    <w:basedOn w:val="Normal"/>
    <w:semiHidden w:val="1"/>
    <w:rsid w:val="003679C8"/>
    <w:rPr>
      <w:rFonts w:ascii="Tahoma" w:cs="Tahoma" w:hAnsi="Tahoma"/>
      <w:sz w:val="16"/>
      <w:szCs w:val="16"/>
    </w:rPr>
  </w:style>
  <w:style w:type="character" w:styleId="RodapChar" w:customStyle="1">
    <w:name w:val="Rodapé Char"/>
    <w:link w:val="Rodap"/>
    <w:uiPriority w:val="99"/>
    <w:rsid w:val="0027293D"/>
    <w:rPr>
      <w:rFonts w:cs="Mangal" w:eastAsia="Lucida Sans Unicode"/>
      <w:kern w:val="1"/>
      <w:sz w:val="24"/>
      <w:szCs w:val="24"/>
      <w:lang w:bidi="hi-IN" w:eastAsia="hi-IN"/>
    </w:rPr>
  </w:style>
  <w:style w:type="character" w:styleId="CabealhoChar" w:customStyle="1">
    <w:name w:val="Cabeçalho Char"/>
    <w:link w:val="Cabealho"/>
    <w:uiPriority w:val="99"/>
    <w:rsid w:val="00120AC1"/>
    <w:rPr>
      <w:rFonts w:cs="Mangal" w:eastAsia="Lucida Sans Unicode"/>
      <w:kern w:val="1"/>
      <w:sz w:val="24"/>
      <w:szCs w:val="24"/>
      <w:lang w:bidi="hi-IN" w:eastAsia="hi-IN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4" w:customStyle="1">
    <w:basedOn w:val="TableNormal"/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5">
    <w:basedOn w:val="TableNormal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6">
    <w:basedOn w:val="TableNormal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revista.tce.mg.gov.br/revista/index.php/TCEMG/article/view/563/535" TargetMode="External"/><Relationship Id="rId10" Type="http://schemas.openxmlformats.org/officeDocument/2006/relationships/hyperlink" Target="https://portal.tcu.gov.br/biblioteca-digital/responsabilizacao-de-agentes-segundo-a-jurisprudencia-do-tcu-uma-abordagem-a-partir-de-licitacoes-e-contratos-aulas-1-a-5.htm" TargetMode="External"/><Relationship Id="rId13" Type="http://schemas.openxmlformats.org/officeDocument/2006/relationships/hyperlink" Target="https://portal.stf.jus.br/constituicao-supremo/artigo.asp?abrirBase=CF&amp;abrirArtigo=71" TargetMode="External"/><Relationship Id="rId12" Type="http://schemas.openxmlformats.org/officeDocument/2006/relationships/hyperlink" Target="https://www.conjur.com.br/2023-jan-10/viana-melo-competencia-sancionadora-tribunais-conta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tcers.tc.br/repo/orientacoes_gestores/RESPONSABILIZACAO-AGENTES.pd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sa-regular.ttf"/><Relationship Id="rId2" Type="http://schemas.openxmlformats.org/officeDocument/2006/relationships/font" Target="fonts/Rasa-bold.ttf"/><Relationship Id="rId3" Type="http://schemas.openxmlformats.org/officeDocument/2006/relationships/font" Target="fonts/Rasa-italic.ttf"/><Relationship Id="rId4" Type="http://schemas.openxmlformats.org/officeDocument/2006/relationships/font" Target="fonts/Ras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3cjrVcbKCaSqoGFoCV0GMkbUGQ==">CgMxLjAyCWguMzBqMHpsbDIIaC5namRneHM4AHIhMUR3N1hIRlBPRXY1QlJBallQbFN0cDVfTGZfZ1ZtRUFC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2024-02-28T19:10:00Z</dcterms:created>
  <dc:creator>Ana Paula de Araujo Rocha</dc:creator>
</cp:coreProperties>
</file>